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Åre kommunfullmäktige</w:t>
      </w:r>
    </w:p>
    <w:p>
      <w:pPr>
        <w:pStyle w:val="Heading1"/>
      </w:pPr>
      <w:r>
        <w:t xml:space="preserve">Blandade bostadsområden i Åre 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Åre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Segregering mellan permanentboende och fritidshusägare skapar sociala problem. Blandade områden stärker integration och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Åre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30 % hyresrätter i nya detaljplaner i Åre by.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markanvisningar för blandade upplåtelseformer.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riktlinjer för social blandning.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bostadssammansättning årligen.</w:t>
      </w:r>
    </w:p>
    <w:p>
      <w:pPr>
        <w:spacing w:before="360"/>
      </w:pPr>
    </w:p>
    <w:p>
      <w:r>
        <w:t xml:space="preserve">Åre,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Åre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2026-07-14T05:45:36.028Z</dcterms:created>
  <dcterms:modified xsi:type="dcterms:W3CDTF">2026-07-14T05:45:36.028Z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